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烟台北洋科技有限公司等4户债权转让项目债权清单</w:t>
      </w:r>
    </w:p>
    <w:tbl>
      <w:tblPr>
        <w:tblStyle w:val="4"/>
        <w:tblpPr w:leftFromText="180" w:rightFromText="180" w:vertAnchor="text" w:horzAnchor="page" w:tblpX="1228" w:tblpY="12"/>
        <w:tblOverlap w:val="never"/>
        <w:tblW w:w="15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84"/>
        <w:gridCol w:w="1566"/>
        <w:gridCol w:w="1545"/>
        <w:gridCol w:w="3060"/>
        <w:gridCol w:w="5412"/>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745" w:type="dxa"/>
            <w:vMerge w:val="restart"/>
            <w:vAlign w:val="top"/>
          </w:tcPr>
          <w:p>
            <w:pPr>
              <w:numPr>
                <w:ilvl w:val="0"/>
                <w:numId w:val="0"/>
              </w:numPr>
              <w:jc w:val="center"/>
              <w:rPr>
                <w:rFonts w:hint="eastAsia"/>
                <w:b/>
                <w:bCs/>
                <w:sz w:val="24"/>
                <w:szCs w:val="24"/>
                <w:vertAlign w:val="baseline"/>
                <w:lang w:val="en-US" w:eastAsia="zh-CN"/>
              </w:rPr>
            </w:pPr>
          </w:p>
          <w:p>
            <w:pPr>
              <w:numPr>
                <w:ilvl w:val="0"/>
                <w:numId w:val="0"/>
              </w:numPr>
              <w:jc w:val="both"/>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1584" w:type="dxa"/>
            <w:vMerge w:val="restart"/>
            <w:vAlign w:val="top"/>
          </w:tcPr>
          <w:p>
            <w:pPr>
              <w:numPr>
                <w:ilvl w:val="0"/>
                <w:numId w:val="0"/>
              </w:numPr>
              <w:jc w:val="center"/>
              <w:rPr>
                <w:rFonts w:hint="eastAsia"/>
                <w:b/>
                <w:bCs/>
                <w:sz w:val="24"/>
                <w:szCs w:val="24"/>
                <w:vertAlign w:val="baseline"/>
                <w:lang w:val="en-US" w:eastAsia="zh-CN"/>
              </w:rPr>
            </w:pPr>
          </w:p>
          <w:p>
            <w:pPr>
              <w:numPr>
                <w:ilvl w:val="0"/>
                <w:numId w:val="0"/>
              </w:numPr>
              <w:jc w:val="both"/>
              <w:rPr>
                <w:rFonts w:hint="eastAsia"/>
                <w:b/>
                <w:bCs/>
                <w:sz w:val="24"/>
                <w:szCs w:val="24"/>
                <w:vertAlign w:val="baseline"/>
                <w:lang w:val="en-US" w:eastAsia="zh-CN"/>
              </w:rPr>
            </w:pPr>
            <w:r>
              <w:rPr>
                <w:rFonts w:hint="eastAsia"/>
                <w:b/>
                <w:bCs/>
                <w:sz w:val="24"/>
                <w:szCs w:val="24"/>
                <w:vertAlign w:val="baseline"/>
                <w:lang w:val="en-US" w:eastAsia="zh-CN"/>
              </w:rPr>
              <w:t>债务人名称</w:t>
            </w:r>
          </w:p>
        </w:tc>
        <w:tc>
          <w:tcPr>
            <w:tcW w:w="3111" w:type="dxa"/>
            <w:gridSpan w:val="2"/>
            <w:vAlign w:val="center"/>
          </w:tcPr>
          <w:p>
            <w:pPr>
              <w:numPr>
                <w:ilvl w:val="0"/>
                <w:numId w:val="0"/>
              </w:numPr>
              <w:jc w:val="center"/>
              <w:rPr>
                <w:rFonts w:hint="eastAsia" w:eastAsia="宋体"/>
                <w:b/>
                <w:bCs/>
                <w:sz w:val="24"/>
                <w:szCs w:val="24"/>
                <w:vertAlign w:val="baseline"/>
                <w:lang w:val="en-US" w:eastAsia="zh-CN"/>
              </w:rPr>
            </w:pPr>
            <w:r>
              <w:rPr>
                <w:rFonts w:hint="eastAsia"/>
                <w:b/>
                <w:bCs/>
                <w:sz w:val="24"/>
                <w:szCs w:val="24"/>
                <w:vertAlign w:val="baseline"/>
                <w:lang w:val="en-US" w:eastAsia="zh-CN"/>
              </w:rPr>
              <w:t>截止到2018年3月20日</w:t>
            </w:r>
          </w:p>
        </w:tc>
        <w:tc>
          <w:tcPr>
            <w:tcW w:w="3060" w:type="dxa"/>
            <w:vMerge w:val="restart"/>
            <w:vAlign w:val="center"/>
          </w:tcPr>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担保人</w:t>
            </w:r>
          </w:p>
        </w:tc>
        <w:tc>
          <w:tcPr>
            <w:tcW w:w="5412" w:type="dxa"/>
            <w:vMerge w:val="restart"/>
            <w:vAlign w:val="center"/>
          </w:tcPr>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抵押物</w:t>
            </w:r>
          </w:p>
        </w:tc>
        <w:tc>
          <w:tcPr>
            <w:tcW w:w="1248" w:type="dxa"/>
            <w:vMerge w:val="restart"/>
            <w:vAlign w:val="center"/>
          </w:tcPr>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债权诉讼情况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45" w:type="dxa"/>
            <w:vMerge w:val="continue"/>
            <w:vAlign w:val="center"/>
          </w:tcPr>
          <w:p>
            <w:pPr>
              <w:numPr>
                <w:ilvl w:val="0"/>
                <w:numId w:val="0"/>
              </w:numPr>
              <w:jc w:val="center"/>
              <w:rPr>
                <w:rFonts w:hint="eastAsia"/>
                <w:sz w:val="24"/>
                <w:szCs w:val="24"/>
                <w:vertAlign w:val="baseline"/>
                <w:lang w:val="en-US" w:eastAsia="zh-CN"/>
              </w:rPr>
            </w:pPr>
          </w:p>
        </w:tc>
        <w:tc>
          <w:tcPr>
            <w:tcW w:w="1584" w:type="dxa"/>
            <w:vMerge w:val="continue"/>
            <w:vAlign w:val="center"/>
          </w:tcPr>
          <w:p>
            <w:pPr>
              <w:numPr>
                <w:ilvl w:val="0"/>
                <w:numId w:val="0"/>
              </w:numPr>
              <w:jc w:val="center"/>
              <w:rPr>
                <w:rFonts w:hint="eastAsia"/>
                <w:sz w:val="24"/>
                <w:szCs w:val="24"/>
                <w:vertAlign w:val="baseline"/>
                <w:lang w:val="en-US" w:eastAsia="zh-CN"/>
              </w:rPr>
            </w:pPr>
          </w:p>
        </w:tc>
        <w:tc>
          <w:tcPr>
            <w:tcW w:w="1566" w:type="dxa"/>
            <w:vAlign w:val="center"/>
          </w:tcPr>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本金</w:t>
            </w:r>
          </w:p>
        </w:tc>
        <w:tc>
          <w:tcPr>
            <w:tcW w:w="1545" w:type="dxa"/>
            <w:vAlign w:val="center"/>
          </w:tcPr>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利息</w:t>
            </w:r>
          </w:p>
        </w:tc>
        <w:tc>
          <w:tcPr>
            <w:tcW w:w="3060" w:type="dxa"/>
            <w:vMerge w:val="continue"/>
            <w:vAlign w:val="center"/>
          </w:tcPr>
          <w:p>
            <w:pPr>
              <w:numPr>
                <w:ilvl w:val="0"/>
                <w:numId w:val="0"/>
              </w:numPr>
              <w:jc w:val="center"/>
              <w:rPr>
                <w:rFonts w:hint="eastAsia"/>
                <w:sz w:val="24"/>
                <w:szCs w:val="24"/>
                <w:vertAlign w:val="baseline"/>
                <w:lang w:val="en-US" w:eastAsia="zh-CN"/>
              </w:rPr>
            </w:pPr>
          </w:p>
        </w:tc>
        <w:tc>
          <w:tcPr>
            <w:tcW w:w="5412" w:type="dxa"/>
            <w:vMerge w:val="continue"/>
            <w:vAlign w:val="center"/>
          </w:tcPr>
          <w:p>
            <w:pPr>
              <w:numPr>
                <w:ilvl w:val="0"/>
                <w:numId w:val="0"/>
              </w:numPr>
              <w:jc w:val="center"/>
              <w:rPr>
                <w:rFonts w:hint="eastAsia"/>
                <w:sz w:val="24"/>
                <w:szCs w:val="24"/>
                <w:vertAlign w:val="baseline"/>
                <w:lang w:val="en-US" w:eastAsia="zh-CN"/>
              </w:rPr>
            </w:pPr>
          </w:p>
        </w:tc>
        <w:tc>
          <w:tcPr>
            <w:tcW w:w="1248" w:type="dxa"/>
            <w:vMerge w:val="continue"/>
            <w:vAlign w:val="center"/>
          </w:tcPr>
          <w:p>
            <w:pPr>
              <w:numPr>
                <w:ilvl w:val="0"/>
                <w:numId w:val="0"/>
              </w:num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w:t>
            </w:r>
          </w:p>
        </w:tc>
        <w:tc>
          <w:tcPr>
            <w:tcW w:w="158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烟台市北洋科技有限公司</w:t>
            </w:r>
          </w:p>
        </w:tc>
        <w:tc>
          <w:tcPr>
            <w:tcW w:w="1566"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54990000.00</w:t>
            </w:r>
          </w:p>
        </w:tc>
        <w:tc>
          <w:tcPr>
            <w:tcW w:w="154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13944200.00</w:t>
            </w:r>
          </w:p>
        </w:tc>
        <w:tc>
          <w:tcPr>
            <w:tcW w:w="3060" w:type="dxa"/>
            <w:vAlign w:val="center"/>
          </w:tcPr>
          <w:p>
            <w:pPr>
              <w:numPr>
                <w:ilvl w:val="0"/>
                <w:numId w:val="0"/>
              </w:numPr>
              <w:jc w:val="center"/>
              <w:rPr>
                <w:rFonts w:hint="eastAsia"/>
                <w:sz w:val="24"/>
                <w:szCs w:val="24"/>
                <w:vertAlign w:val="baseline"/>
                <w:lang w:val="en-US" w:eastAsia="zh-CN"/>
              </w:rPr>
            </w:pPr>
            <w:r>
              <w:rPr>
                <w:rFonts w:hint="eastAsia"/>
                <w:sz w:val="24"/>
                <w:szCs w:val="24"/>
                <w:lang w:val="en-US" w:eastAsia="zh-CN"/>
              </w:rPr>
              <w:t>由孟庆波、王树美、徐金蔚、孟繁平及烟台鼎力汽车部件有限公司、烟台南洋汽车空调器有限公司提供连带责任保证。</w:t>
            </w:r>
          </w:p>
        </w:tc>
        <w:tc>
          <w:tcPr>
            <w:tcW w:w="5412" w:type="dxa"/>
            <w:vAlign w:val="center"/>
          </w:tcPr>
          <w:p>
            <w:pPr>
              <w:numPr>
                <w:ilvl w:val="0"/>
                <w:numId w:val="0"/>
              </w:numPr>
              <w:jc w:val="left"/>
              <w:rPr>
                <w:rFonts w:hint="eastAsia"/>
                <w:sz w:val="24"/>
                <w:szCs w:val="24"/>
                <w:lang w:val="en-US" w:eastAsia="zh-CN"/>
              </w:rPr>
            </w:pPr>
            <w:r>
              <w:rPr>
                <w:rFonts w:hint="eastAsia"/>
                <w:sz w:val="24"/>
                <w:szCs w:val="24"/>
                <w:lang w:val="en-US" w:eastAsia="zh-CN"/>
              </w:rPr>
              <w:t>烟台北洋科技有限公司提供位于烟台市莱山区春晖路16号的工业土地、工业房产抵押，土地证编号“烟莱国用（2002）字第2028号”，面积12610.70㎡；房产证编号“烟房莱自A0373号”，面积997.26㎡。</w:t>
            </w:r>
          </w:p>
          <w:p>
            <w:pPr>
              <w:numPr>
                <w:ilvl w:val="0"/>
                <w:numId w:val="0"/>
              </w:numPr>
              <w:jc w:val="left"/>
              <w:rPr>
                <w:rFonts w:hint="eastAsia"/>
                <w:sz w:val="24"/>
                <w:szCs w:val="24"/>
                <w:lang w:val="en-US" w:eastAsia="zh-CN"/>
              </w:rPr>
            </w:pPr>
            <w:r>
              <w:rPr>
                <w:rFonts w:hint="eastAsia"/>
                <w:b/>
                <w:bCs/>
                <w:sz w:val="24"/>
                <w:szCs w:val="24"/>
                <w:lang w:val="en-US" w:eastAsia="zh-CN"/>
              </w:rPr>
              <w:t>另查封：</w:t>
            </w:r>
            <w:r>
              <w:rPr>
                <w:rFonts w:hint="eastAsia"/>
                <w:sz w:val="24"/>
                <w:szCs w:val="24"/>
                <w:lang w:val="en-US" w:eastAsia="zh-CN"/>
              </w:rPr>
              <w:t>①鲁FBY639，已拍卖35.6万，未领取；②烟台鼎力汽车部件有限公司投资烟台中航复合材料有限公司500万元占股5%。</w:t>
            </w:r>
          </w:p>
        </w:tc>
        <w:tc>
          <w:tcPr>
            <w:tcW w:w="1248" w:type="dxa"/>
            <w:vAlign w:val="center"/>
          </w:tcPr>
          <w:p>
            <w:pPr>
              <w:numPr>
                <w:ilvl w:val="0"/>
                <w:numId w:val="0"/>
              </w:numPr>
              <w:jc w:val="center"/>
              <w:rPr>
                <w:rFonts w:hint="eastAsia"/>
                <w:sz w:val="24"/>
                <w:szCs w:val="24"/>
                <w:vertAlign w:val="baseline"/>
                <w:lang w:val="en-US" w:eastAsia="zh-CN"/>
              </w:rPr>
            </w:pPr>
            <w:r>
              <w:rPr>
                <w:rFonts w:hint="eastAsia"/>
                <w:sz w:val="24"/>
                <w:szCs w:val="24"/>
                <w:lang w:val="en-US" w:eastAsia="zh-CN"/>
              </w:rPr>
              <w:t>目前该案件已进入执行程序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2</w:t>
            </w:r>
          </w:p>
        </w:tc>
        <w:tc>
          <w:tcPr>
            <w:tcW w:w="158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烟台金姆格经贸有限公司</w:t>
            </w:r>
          </w:p>
        </w:tc>
        <w:tc>
          <w:tcPr>
            <w:tcW w:w="1566"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2148545.00</w:t>
            </w:r>
          </w:p>
        </w:tc>
        <w:tc>
          <w:tcPr>
            <w:tcW w:w="154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734877.00</w:t>
            </w:r>
          </w:p>
        </w:tc>
        <w:tc>
          <w:tcPr>
            <w:tcW w:w="306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由高静静、颜秉刚、程显志、郭红、邓新军及烟台凯瑞精密机械设备有限公司、烟台锐泰服饰有限公司提供连带责任保证。</w:t>
            </w:r>
          </w:p>
        </w:tc>
        <w:tc>
          <w:tcPr>
            <w:tcW w:w="5412" w:type="dxa"/>
            <w:vAlign w:val="center"/>
          </w:tcPr>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颜秉刚名下位于开发区凤台山路17号4号楼2号内6号住宅一套，面积108平方米，房权证号烟房权证开字第255142号。</w:t>
            </w:r>
          </w:p>
          <w:p>
            <w:pPr>
              <w:numPr>
                <w:ilvl w:val="0"/>
                <w:numId w:val="0"/>
              </w:numPr>
              <w:jc w:val="left"/>
              <w:rPr>
                <w:rFonts w:hint="eastAsia"/>
                <w:sz w:val="24"/>
                <w:szCs w:val="24"/>
                <w:vertAlign w:val="baseline"/>
                <w:lang w:val="en-US" w:eastAsia="zh-CN"/>
              </w:rPr>
            </w:pPr>
            <w:r>
              <w:rPr>
                <w:rFonts w:hint="eastAsia"/>
                <w:b/>
                <w:bCs/>
                <w:sz w:val="24"/>
                <w:szCs w:val="24"/>
                <w:vertAlign w:val="baseline"/>
                <w:lang w:val="en-US" w:eastAsia="zh-CN"/>
              </w:rPr>
              <w:t>另查封：</w:t>
            </w:r>
            <w:r>
              <w:rPr>
                <w:rFonts w:hint="eastAsia"/>
                <w:sz w:val="24"/>
                <w:szCs w:val="24"/>
                <w:vertAlign w:val="baseline"/>
                <w:lang w:val="en-US" w:eastAsia="zh-CN"/>
              </w:rPr>
              <w:t>①郭红名下位于烟台开发区黄海别墅区22号楼内八号房屋，面积：163.3平方米，产权证号：K006709；首封，无抵押。②郭红名下位于开发区黄海别墅区22号楼220号车库，面积：21.08平方米，权利证号：K006710，首封，无抵押。</w:t>
            </w:r>
          </w:p>
        </w:tc>
        <w:tc>
          <w:tcPr>
            <w:tcW w:w="1248"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目前该案件已进入执行程序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3</w:t>
            </w:r>
          </w:p>
        </w:tc>
        <w:tc>
          <w:tcPr>
            <w:tcW w:w="158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龙口市三和再生物资回收有限公司</w:t>
            </w:r>
          </w:p>
        </w:tc>
        <w:tc>
          <w:tcPr>
            <w:tcW w:w="1566"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5000000.00</w:t>
            </w:r>
          </w:p>
        </w:tc>
        <w:tc>
          <w:tcPr>
            <w:tcW w:w="154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1894542.00</w:t>
            </w:r>
          </w:p>
        </w:tc>
        <w:tc>
          <w:tcPr>
            <w:tcW w:w="306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由宋治滨、蒋翠香夫妇提供全额500万连带责任保证。</w:t>
            </w:r>
          </w:p>
        </w:tc>
        <w:tc>
          <w:tcPr>
            <w:tcW w:w="5412" w:type="dxa"/>
            <w:vAlign w:val="center"/>
          </w:tcPr>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龙口市新嘉铝合金门窗厂名下土地使用权，位于龙口经济开发区河口于家，面积13171.0平方米，权利证号：龙口国用（2007）第0029号。龙口市新嘉铝合金门窗厂名下房产，位于龙口经济开发区河口于家，面积1039.6平方米，权利证号：龙房权证龙口字第GC1153号。宋治滨名下位于龙口市嘉元小区A2楼1-302，面积94.83平方米，房权证号：龙房权证龙办字第201500423号。</w:t>
            </w:r>
          </w:p>
        </w:tc>
        <w:tc>
          <w:tcPr>
            <w:tcW w:w="1248"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目前该案件已进入执行程序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4</w:t>
            </w:r>
          </w:p>
        </w:tc>
        <w:tc>
          <w:tcPr>
            <w:tcW w:w="158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烟台博尔节能环保科技有限公司</w:t>
            </w:r>
          </w:p>
        </w:tc>
        <w:tc>
          <w:tcPr>
            <w:tcW w:w="1566"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3000000.00</w:t>
            </w:r>
          </w:p>
        </w:tc>
        <w:tc>
          <w:tcPr>
            <w:tcW w:w="154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694700.00</w:t>
            </w:r>
          </w:p>
        </w:tc>
        <w:tc>
          <w:tcPr>
            <w:tcW w:w="306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由刘红心及其配偶于化娟提供300万连带责任保证。</w:t>
            </w:r>
          </w:p>
        </w:tc>
        <w:tc>
          <w:tcPr>
            <w:tcW w:w="5412" w:type="dxa"/>
            <w:vAlign w:val="center"/>
          </w:tcPr>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烟台华乐新型建材有限公司名下位于烟台市只楚南路1号两块土地，①土地证号：烟国用（2003）字第319号土地，面积10696平方米；②土地证号：烟国用（2001）字第30号土地，面积1082.8平方米，土地性质工业用地。</w:t>
            </w:r>
          </w:p>
          <w:p>
            <w:pPr>
              <w:numPr>
                <w:ilvl w:val="0"/>
                <w:numId w:val="0"/>
              </w:numPr>
              <w:jc w:val="left"/>
              <w:rPr>
                <w:rFonts w:hint="eastAsia"/>
                <w:sz w:val="24"/>
                <w:szCs w:val="24"/>
                <w:vertAlign w:val="baseline"/>
                <w:lang w:val="en-US" w:eastAsia="zh-CN"/>
              </w:rPr>
            </w:pPr>
            <w:r>
              <w:rPr>
                <w:rFonts w:hint="eastAsia"/>
                <w:b/>
                <w:bCs/>
                <w:sz w:val="24"/>
                <w:szCs w:val="24"/>
                <w:vertAlign w:val="baseline"/>
                <w:lang w:val="en-US" w:eastAsia="zh-CN"/>
              </w:rPr>
              <w:t>另查封：</w:t>
            </w:r>
            <w:r>
              <w:rPr>
                <w:rFonts w:hint="eastAsia"/>
                <w:sz w:val="24"/>
                <w:szCs w:val="24"/>
                <w:vertAlign w:val="baseline"/>
                <w:lang w:val="en-US" w:eastAsia="zh-CN"/>
              </w:rPr>
              <w:t>1、刘红心名下位于烟台芝罘区海港路10号17号房产一套，面积931.46㎡，查封顺位为首封。</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2、刘红心名下位于烟台芝罘区四马路附96号房产一套，面积119.64㎡，查封顺位为首封。</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3、刘红心名下位于烟台芝罘区三明街16号内1号房产一套，面积57.78㎡，查封顺位为首封。</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4、刘红心名下车牌号为鲁YV9959起亚牌轿车一辆，未抵质押、查封</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5、于化娟名下位于烟台莱山区观海花园8号210号房产一套，面积108.92㎡，查封顺位为首封。</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6、于化娟名下位于烟台莱山区观海花园8号208号房产一套，面积126.23㎡，查封顺位为首封。</w:t>
            </w:r>
          </w:p>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7、于化娟名下位于烟台莱山区观海花园17-4-12号房产一套，面积199.17㎡，抵押顺位为首封。</w:t>
            </w:r>
          </w:p>
        </w:tc>
        <w:tc>
          <w:tcPr>
            <w:tcW w:w="1248"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目前该案件已进入执行程序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0" w:type="dxa"/>
            <w:gridSpan w:val="7"/>
            <w:vAlign w:val="center"/>
          </w:tcPr>
          <w:p>
            <w:pPr>
              <w:numPr>
                <w:ilvl w:val="0"/>
                <w:numId w:val="0"/>
              </w:numPr>
              <w:jc w:val="left"/>
              <w:rPr>
                <w:rFonts w:hint="eastAsia"/>
                <w:sz w:val="24"/>
                <w:szCs w:val="24"/>
                <w:vertAlign w:val="baseline"/>
                <w:lang w:val="en-US" w:eastAsia="zh-CN"/>
              </w:rPr>
            </w:pPr>
            <w:r>
              <w:rPr>
                <w:rFonts w:hint="eastAsia"/>
                <w:b/>
                <w:bCs/>
                <w:sz w:val="24"/>
                <w:szCs w:val="24"/>
                <w:vertAlign w:val="baseline"/>
                <w:lang w:val="en-US" w:eastAsia="zh-CN"/>
              </w:rPr>
              <w:t>以上信息仅供参考，最终以借据、合同法院判决等有关法律资料为准，招商方不对其承担任何法律责任，同时招商方有权根据有关规定和要求对资产包内的债权及其处置方式、处置方案进行调整。本公告不构成一项要约。</w:t>
            </w:r>
          </w:p>
        </w:tc>
      </w:tr>
    </w:tbl>
    <w:p>
      <w:pPr>
        <w:jc w:val="left"/>
        <w:rPr>
          <w:rFonts w:hint="eastAsia"/>
          <w:sz w:val="32"/>
          <w:szCs w:val="32"/>
          <w:lang w:val="en-US" w:eastAsia="zh-CN"/>
        </w:rPr>
      </w:pPr>
      <w:bookmarkStart w:id="0" w:name="_GoBack"/>
      <w:bookmarkEnd w:id="0"/>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63A3"/>
    <w:rsid w:val="238759B0"/>
    <w:rsid w:val="3FB17D4F"/>
    <w:rsid w:val="41DA0DFC"/>
    <w:rsid w:val="423B04ED"/>
    <w:rsid w:val="42A20B08"/>
    <w:rsid w:val="578352F9"/>
    <w:rsid w:val="671C2656"/>
    <w:rsid w:val="6F761202"/>
    <w:rsid w:val="7A1A1B49"/>
    <w:rsid w:val="7B6C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jiahaosu</cp:lastModifiedBy>
  <dcterms:modified xsi:type="dcterms:W3CDTF">2018-09-26T07:01:42Z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